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"/>
        </w:tabs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bookmarkStart w:id="0" w:name="_Toc530576877"/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成都经开华西牙科医院装饰装修项目设计服务采购</w:t>
      </w:r>
    </w:p>
    <w:p>
      <w:pPr>
        <w:tabs>
          <w:tab w:val="left" w:pos="432"/>
        </w:tabs>
        <w:jc w:val="center"/>
        <w:outlineLvl w:val="0"/>
        <w:rPr>
          <w:rFonts w:ascii="宋体" w:hAnsi="宋体" w:cs="宋体"/>
          <w:b/>
          <w:color w:val="auto"/>
          <w:sz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 xml:space="preserve"> 比选公告</w:t>
      </w:r>
      <w:bookmarkEnd w:id="0"/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" w:name="_Toc530576794"/>
      <w:bookmarkStart w:id="2" w:name="_Toc53057687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1.比选</w:t>
      </w:r>
      <w:r>
        <w:rPr>
          <w:rFonts w:hint="eastAsia" w:ascii="仿宋" w:hAnsi="仿宋" w:eastAsia="仿宋" w:cs="仿宋"/>
          <w:b/>
          <w:color w:val="auto"/>
          <w:spacing w:val="-5"/>
          <w:sz w:val="24"/>
          <w:szCs w:val="24"/>
          <w:highlight w:val="none"/>
        </w:rPr>
        <w:t>条件</w:t>
      </w:r>
      <w:bookmarkEnd w:id="1"/>
      <w:bookmarkEnd w:id="2"/>
    </w:p>
    <w:p>
      <w:pPr>
        <w:tabs>
          <w:tab w:val="left" w:pos="1480"/>
        </w:tabs>
        <w:autoSpaceDE w:val="0"/>
        <w:autoSpaceDN w:val="0"/>
        <w:adjustRightInd w:val="0"/>
        <w:spacing w:line="360" w:lineRule="auto"/>
        <w:ind w:right="-67" w:firstLine="583" w:firstLineChars="243"/>
        <w:jc w:val="left"/>
        <w:textAlignment w:val="baseline"/>
        <w:rPr>
          <w:rFonts w:ascii="仿宋" w:hAnsi="仿宋" w:eastAsia="仿宋" w:cs="仿宋"/>
          <w:b/>
          <w:bCs/>
          <w:color w:val="auto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本比选项目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成都经开华西牙科医院装饰装修项目设计服务采购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，比选人为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成都经开华西牙科医院有限责任公司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。项目已具备比选条件，兹邀请符合本次比选要求的潜在申请人参与。</w:t>
      </w:r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3" w:name="_Toc530576795"/>
      <w:bookmarkStart w:id="4" w:name="_Toc53057687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2.项目名称：</w:t>
      </w:r>
      <w:bookmarkEnd w:id="3"/>
      <w:bookmarkEnd w:id="4"/>
      <w:bookmarkStart w:id="5" w:name="_Toc530576796"/>
      <w:bookmarkStart w:id="6" w:name="_Toc530576880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成都经开华西牙科医院装饰装修项目设计服务采购</w:t>
      </w:r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3.比选编号：</w:t>
      </w:r>
      <w:bookmarkEnd w:id="5"/>
      <w:bookmarkEnd w:id="6"/>
      <w:bookmarkStart w:id="7" w:name="_Toc530576881"/>
      <w:bookmarkStart w:id="8" w:name="_Toc53057679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ZXHT-20240527</w:t>
      </w:r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4.项目概况</w:t>
      </w:r>
      <w:bookmarkEnd w:id="7"/>
      <w:bookmarkEnd w:id="8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1</w:t>
      </w:r>
      <w:r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  <w:t>.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本项目1个包。采购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  <w:lang w:eastAsia="zh-CN"/>
        </w:rPr>
        <w:t>成都经开华西牙科医院装饰装修项目设计服务采购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设计服务供应商一名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  <w:lang w:eastAsia="zh-CN"/>
        </w:rPr>
        <w:t>，总建筑面积为1250.2㎡ ，共三层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color w:val="0000FF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2</w:t>
      </w:r>
      <w:r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  <w:t>.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服务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  <w:lang w:val="en-US" w:eastAsia="zh-CN"/>
        </w:rPr>
        <w:t>期限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  <w:lang w:val="en-US" w:eastAsia="zh-CN"/>
        </w:rPr>
        <w:t>收到甲方设计任务书后，在20日历天内完成所有工作内容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9" w:name="_Toc530576798"/>
      <w:bookmarkStart w:id="10" w:name="_Toc53057688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5.比选申请人资格要求</w:t>
      </w:r>
      <w:bookmarkEnd w:id="9"/>
      <w:bookmarkEnd w:id="10"/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（1）具有独立承担民事责任的能力；</w:t>
      </w:r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（2）比选申请人具有良好的商业信誉和健全的财务会计制度；</w:t>
      </w:r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（3）比选申请人具有履行合同所必须的设备和专业技术能力；</w:t>
      </w:r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（4）具有依法缴纳税收和社会保障资金的良好记录；</w:t>
      </w:r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（5）参加本次比选活动前三年内，比选申请人在经营活动中没有重大违法记录；</w:t>
      </w:r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根据本项目特殊要求设置的特定条件：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具有建设行政主管部门颁发的建筑行业（建筑工程）专业乙级及以上设计资质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不在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政府采购严重违法失信行为记录名单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内和不具有信用中国查询严重失信记录。</w:t>
      </w:r>
    </w:p>
    <w:p>
      <w:pPr>
        <w:autoSpaceDE w:val="0"/>
        <w:autoSpaceDN w:val="0"/>
        <w:adjustRightInd w:val="0"/>
        <w:spacing w:before="78" w:line="360" w:lineRule="auto"/>
        <w:ind w:right="-20"/>
        <w:jc w:val="left"/>
        <w:rPr>
          <w:rFonts w:ascii="仿宋" w:hAnsi="仿宋" w:eastAsia="仿宋" w:cs="仿宋"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highlight w:val="none"/>
        </w:rPr>
        <w:t xml:space="preserve">）不接受联合体参加比选。 </w:t>
      </w:r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1" w:name="_Toc530576883"/>
      <w:bookmarkStart w:id="12" w:name="_Toc53057679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6.比选文件的获取</w:t>
      </w:r>
      <w:bookmarkEnd w:id="11"/>
      <w:bookmarkEnd w:id="1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及时间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文件自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none"/>
          <w:lang w:val="en-US" w:eastAsia="zh-CN"/>
        </w:rPr>
        <w:t xml:space="preserve"> 5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none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日至202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none"/>
          <w:lang w:val="en-US" w:eastAsia="zh-CN"/>
        </w:rPr>
        <w:t xml:space="preserve"> 6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non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日09:00- 17:00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（北京时间，法定节假日除外）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通过网络获取。</w:t>
      </w:r>
    </w:p>
    <w:p>
      <w:pPr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获取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文件时，经办人员通过网络（网络邮箱：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3414286509@qq.com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）提交以下资料：供应商为法人或者其他组织的，需提供单位介绍信、报名登记表（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见附件1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）、经办人身份证复印件并加盖公章；供应商为自然人的，只需提供本人身份证明。</w:t>
      </w:r>
    </w:p>
    <w:p>
      <w:pPr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比选文件售价300元/份，售后不退，比选资格不得转让。</w:t>
      </w:r>
    </w:p>
    <w:p>
      <w:pPr>
        <w:pStyle w:val="4"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3" w:name="_Toc530576800"/>
      <w:bookmarkStart w:id="14" w:name="_Toc53057688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递交比选申请文件的时间及地点</w:t>
      </w:r>
      <w:bookmarkEnd w:id="13"/>
      <w:bookmarkEnd w:id="14"/>
    </w:p>
    <w:p>
      <w:pPr>
        <w:tabs>
          <w:tab w:val="left" w:pos="1480"/>
        </w:tabs>
        <w:autoSpaceDE w:val="0"/>
        <w:autoSpaceDN w:val="0"/>
        <w:adjustRightInd w:val="0"/>
        <w:spacing w:line="360" w:lineRule="auto"/>
        <w:ind w:right="-157"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时间：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日1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: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（北京时间，法定节假日除外）。</w:t>
      </w:r>
    </w:p>
    <w:p>
      <w:pPr>
        <w:tabs>
          <w:tab w:val="left" w:pos="1480"/>
        </w:tabs>
        <w:autoSpaceDE w:val="0"/>
        <w:autoSpaceDN w:val="0"/>
        <w:adjustRightInd w:val="0"/>
        <w:spacing w:line="360" w:lineRule="auto"/>
        <w:ind w:right="-157"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地点：</w:t>
      </w:r>
      <w:r>
        <w:rPr>
          <w:rFonts w:hint="eastAsia" w:ascii="仿宋" w:hAnsi="仿宋" w:eastAsia="仿宋"/>
          <w:color w:val="auto"/>
          <w:sz w:val="24"/>
          <w:highlight w:val="none"/>
        </w:rPr>
        <w:t>比选申请文件必须在递交截止时间前送达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成都市武侯区环球中心W3区604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。</w:t>
      </w:r>
    </w:p>
    <w:p>
      <w:pPr>
        <w:tabs>
          <w:tab w:val="left" w:pos="1380"/>
        </w:tabs>
        <w:autoSpaceDE w:val="0"/>
        <w:autoSpaceDN w:val="0"/>
        <w:adjustRightInd w:val="0"/>
        <w:spacing w:line="360" w:lineRule="auto"/>
        <w:ind w:right="-137"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逾期送达的或者未送达指定地点的比选申请文件，比选人不予受理。</w:t>
      </w:r>
    </w:p>
    <w:p>
      <w:pPr>
        <w:pStyle w:val="5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8.比选文件的开启时间及地点</w:t>
      </w:r>
    </w:p>
    <w:p>
      <w:pPr>
        <w:tabs>
          <w:tab w:val="left" w:pos="1480"/>
        </w:tabs>
        <w:autoSpaceDE w:val="0"/>
        <w:autoSpaceDN w:val="0"/>
        <w:adjustRightInd w:val="0"/>
        <w:spacing w:line="360" w:lineRule="auto"/>
        <w:ind w:right="-157"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时间：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: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（北京时间，法定节假日除外）。</w:t>
      </w:r>
    </w:p>
    <w:p>
      <w:pPr>
        <w:tabs>
          <w:tab w:val="left" w:pos="1480"/>
        </w:tabs>
        <w:autoSpaceDE w:val="0"/>
        <w:autoSpaceDN w:val="0"/>
        <w:adjustRightInd w:val="0"/>
        <w:spacing w:line="360" w:lineRule="auto"/>
        <w:ind w:right="-157" w:firstLine="480" w:firstLineChars="200"/>
        <w:jc w:val="left"/>
        <w:rPr>
          <w:rFonts w:hint="eastAsia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地点：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成都市武侯区环球中心W3区604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5" w:name="_Toc530576885"/>
      <w:bookmarkStart w:id="16" w:name="_Toc53057680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9.本项目公告将在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中国招标投标公共服务平台（http://www.cebpubservice.com)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、四川省投资集团有限责任公司官网（https://www.invest.com.cn/）、华西牙科有限责任公司官网（http://www.hxdental.cn/）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天府阳光采购平台（http://scig.tfygcgfw.com）发布上发布。</w:t>
      </w:r>
      <w:bookmarkEnd w:id="15"/>
      <w:bookmarkEnd w:id="16"/>
      <w:bookmarkStart w:id="17" w:name="_Toc530576886"/>
      <w:bookmarkStart w:id="18" w:name="_Toc530576802"/>
    </w:p>
    <w:p>
      <w:pPr>
        <w:pStyle w:val="4"/>
        <w:numPr>
          <w:ilvl w:val="0"/>
          <w:numId w:val="0"/>
        </w:numPr>
        <w:spacing w:line="360" w:lineRule="auto"/>
        <w:ind w:left="432" w:hanging="432"/>
        <w:jc w:val="left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10.联系方式</w:t>
      </w:r>
      <w:bookmarkEnd w:id="17"/>
      <w:bookmarkEnd w:id="18"/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</w:pPr>
      <w:bookmarkStart w:id="19" w:name="_Toc530576887"/>
      <w:bookmarkStart w:id="20" w:name="_Toc530576803"/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比 选 人：</w:t>
      </w:r>
      <w:bookmarkEnd w:id="19"/>
      <w:bookmarkEnd w:id="20"/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成都经开华西牙科医院有限责任公司</w:t>
      </w:r>
    </w:p>
    <w:p>
      <w:pPr>
        <w:spacing w:line="360" w:lineRule="auto"/>
        <w:jc w:val="left"/>
        <w:outlineLvl w:val="9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bookmarkStart w:id="21" w:name="_Toc530576888"/>
      <w:bookmarkStart w:id="22" w:name="_Toc530576804"/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地    址：</w:t>
      </w:r>
      <w:bookmarkEnd w:id="21"/>
      <w:bookmarkEnd w:id="22"/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四川省成都市青羊区小南街23号四川口腔医院13楼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bookmarkStart w:id="23" w:name="_Toc530576805"/>
      <w:bookmarkStart w:id="24" w:name="_Toc530576889"/>
      <w:r>
        <w:rPr>
          <w:rFonts w:hint="eastAsia" w:ascii="仿宋" w:hAnsi="仿宋" w:eastAsia="仿宋" w:cs="仿宋"/>
          <w:color w:val="auto"/>
          <w:sz w:val="24"/>
          <w:highlight w:val="none"/>
        </w:rPr>
        <w:t>联 系 人：</w:t>
      </w:r>
      <w:bookmarkEnd w:id="23"/>
      <w:bookmarkEnd w:id="24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刘老师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bookmarkStart w:id="25" w:name="_Toc530576890"/>
      <w:bookmarkStart w:id="26" w:name="_Toc530576806"/>
      <w:r>
        <w:rPr>
          <w:rFonts w:hint="eastAsia" w:ascii="仿宋" w:hAnsi="仿宋" w:eastAsia="仿宋" w:cs="仿宋"/>
          <w:color w:val="auto"/>
          <w:sz w:val="24"/>
          <w:highlight w:val="none"/>
        </w:rPr>
        <w:t>联系电话：</w:t>
      </w:r>
      <w:bookmarkEnd w:id="25"/>
      <w:bookmarkEnd w:id="26"/>
      <w:bookmarkStart w:id="27" w:name="_Toc530576891"/>
      <w:bookmarkStart w:id="28" w:name="_Toc530576807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18200519630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代理机构：</w:t>
      </w:r>
      <w:bookmarkEnd w:id="27"/>
      <w:bookmarkEnd w:id="28"/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广西中信恒泰工程顾问有限公司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地址：</w:t>
      </w: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  <w:lang w:eastAsia="zh-CN"/>
        </w:rPr>
        <w:t>成都市武侯区环球中心W3区604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联系人：</w:t>
      </w:r>
      <w:bookmarkStart w:id="29" w:name="_Toc530576894"/>
      <w:bookmarkStart w:id="30" w:name="_Toc530576810"/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彭老师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电  话：</w:t>
      </w:r>
      <w:bookmarkEnd w:id="29"/>
      <w:bookmarkEnd w:id="30"/>
      <w:bookmarkStart w:id="31" w:name="_Toc530576895"/>
      <w:bookmarkStart w:id="32" w:name="_Toc530576811"/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 xml:space="preserve">18116582085  </w:t>
      </w:r>
      <w:bookmarkEnd w:id="31"/>
      <w:bookmarkEnd w:id="32"/>
    </w:p>
    <w:p>
      <w:pPr>
        <w:spacing w:line="360" w:lineRule="auto"/>
        <w:jc w:val="left"/>
        <w:rPr>
          <w:rStyle w:val="8"/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邮  箱：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instrText xml:space="preserve"> HYPERLINK "mailto:sichuanpinshun@163.com" </w:instrTex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3414286509@qq.com</w:t>
      </w:r>
    </w:p>
    <w:p>
      <w:pPr>
        <w:spacing w:line="360" w:lineRule="auto"/>
        <w:jc w:val="left"/>
        <w:rPr>
          <w:rStyle w:val="8"/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</w:p>
    <w:p>
      <w:pPr>
        <w:spacing w:line="360" w:lineRule="auto"/>
        <w:ind w:firstLine="6240" w:firstLineChars="26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bookmarkStart w:id="33" w:name="_GoBack"/>
      <w:bookmarkEnd w:id="33"/>
      <w:r>
        <w:rPr>
          <w:rStyle w:val="8"/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2024年5月29日</w:t>
      </w:r>
      <w:r>
        <w:rPr>
          <w:rStyle w:val="8"/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供应商报名登记表</w:t>
      </w:r>
    </w:p>
    <w:tbl>
      <w:tblPr>
        <w:tblStyle w:val="6"/>
        <w:tblW w:w="8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63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项目编号(必填）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项目名称(必填）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单位名称(必填）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单位地址(必填）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报名时间(必填）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单位固定电话（如有）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经办人姓名及移动电话(必填）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电子邮箱(必填）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报名信息确认无误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（签字或盖章）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4620" w:firstLineChars="2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4965A"/>
    <w:multiLevelType w:val="singleLevel"/>
    <w:tmpl w:val="1694965A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TFiZjVlYmEwNmVlMWUxZDBkODA5N2JhYzlhY2IifQ=="/>
  </w:docVars>
  <w:rsids>
    <w:rsidRoot w:val="5E9D71A0"/>
    <w:rsid w:val="24AE5D95"/>
    <w:rsid w:val="5E9D71A0"/>
    <w:rsid w:val="6A5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4"/>
    <w:basedOn w:val="1"/>
    <w:next w:val="1"/>
    <w:qFormat/>
    <w:uiPriority w:val="9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8">
    <w:name w:val="Hyperlink"/>
    <w:qFormat/>
    <w:uiPriority w:val="99"/>
    <w:rPr>
      <w:color w:val="333333"/>
      <w:u w:val="non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2024-05-29T08:04:00Z</dcterms:created>
  <dc:creator>ltw</dc:creator>
  <cp:lastModifiedBy>ltw</cp:lastModifiedBy>
  <cp:lastPrinted>2024-05-29T08:06:07Z</cp:lastPrinted>
  <dcterms:modified xsi:type="dcterms:W3CDTF">2024-05-29T08:10:00Z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F0107DD6D47B4627B4B6CCEADBC1AAE3_11</vt:lpwstr>
  </property>
</Properties>
</file>